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F7060" w14:textId="3A08DECA" w:rsidR="00207C3E" w:rsidRPr="003E059E" w:rsidRDefault="005F3BDD" w:rsidP="00FF4F86">
      <w:pPr>
        <w:autoSpaceDE w:val="0"/>
        <w:autoSpaceDN w:val="0"/>
        <w:adjustRightInd w:val="0"/>
        <w:rPr>
          <w:rFonts w:ascii="Arial" w:hAnsi="Arial" w:cs="Arial"/>
          <w:sz w:val="20"/>
          <w:szCs w:val="20"/>
        </w:rPr>
      </w:pPr>
      <w:r>
        <w:rPr>
          <w:rFonts w:ascii="Arial" w:hAnsi="Arial" w:cs="Arial"/>
          <w:b/>
          <w:bCs/>
          <w:sz w:val="20"/>
          <w:szCs w:val="20"/>
        </w:rPr>
        <w:t>Algemene Voorwaarden</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6D2E9C19" w14:textId="2DF8BF49" w:rsidR="00F91277" w:rsidRPr="00A80FEE" w:rsidRDefault="00917331" w:rsidP="00FF4F86">
      <w:pPr>
        <w:autoSpaceDE w:val="0"/>
        <w:autoSpaceDN w:val="0"/>
        <w:adjustRightInd w:val="0"/>
        <w:rPr>
          <w:rFonts w:ascii="Arial" w:hAnsi="Arial" w:cs="Arial"/>
          <w:sz w:val="20"/>
          <w:szCs w:val="20"/>
        </w:rPr>
      </w:pPr>
      <w:r>
        <w:rPr>
          <w:rFonts w:ascii="Arial" w:hAnsi="Arial" w:cs="Arial"/>
          <w:sz w:val="20"/>
          <w:szCs w:val="20"/>
        </w:rPr>
        <w:t>Artikel 14</w:t>
      </w:r>
      <w:r w:rsidR="00F91277" w:rsidRPr="00A80FEE">
        <w:rPr>
          <w:rFonts w:ascii="Arial" w:hAnsi="Arial" w:cs="Arial"/>
          <w:sz w:val="20"/>
          <w:szCs w:val="20"/>
        </w:rPr>
        <w:t xml:space="preserve"> - Betaling</w:t>
      </w:r>
    </w:p>
    <w:p w14:paraId="302757CE" w14:textId="35C499DC"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917331">
        <w:rPr>
          <w:rFonts w:ascii="Arial" w:hAnsi="Arial" w:cs="Arial"/>
          <w:sz w:val="20"/>
          <w:szCs w:val="20"/>
        </w:rPr>
        <w:t>tikel 15</w:t>
      </w:r>
      <w:r w:rsidRPr="00A80FEE">
        <w:rPr>
          <w:rFonts w:ascii="Arial" w:hAnsi="Arial" w:cs="Arial"/>
          <w:sz w:val="20"/>
          <w:szCs w:val="20"/>
        </w:rPr>
        <w:t xml:space="preserve"> - Klachtenregeling</w:t>
      </w:r>
    </w:p>
    <w:p w14:paraId="706042E3" w14:textId="47718330" w:rsidR="00F91277" w:rsidRPr="00A80FEE" w:rsidRDefault="00917331" w:rsidP="00FF4F86">
      <w:pPr>
        <w:autoSpaceDE w:val="0"/>
        <w:autoSpaceDN w:val="0"/>
        <w:adjustRightInd w:val="0"/>
        <w:rPr>
          <w:rFonts w:ascii="Arial" w:hAnsi="Arial" w:cs="Arial"/>
          <w:sz w:val="20"/>
          <w:szCs w:val="20"/>
        </w:rPr>
      </w:pPr>
      <w:r>
        <w:rPr>
          <w:rFonts w:ascii="Arial" w:hAnsi="Arial" w:cs="Arial"/>
          <w:sz w:val="20"/>
          <w:szCs w:val="20"/>
        </w:rPr>
        <w:t>Artikel 16</w:t>
      </w:r>
      <w:r w:rsidR="00F91277" w:rsidRPr="00A80FEE">
        <w:rPr>
          <w:rFonts w:ascii="Arial" w:hAnsi="Arial" w:cs="Arial"/>
          <w:sz w:val="20"/>
          <w:szCs w:val="20"/>
        </w:rPr>
        <w:t xml:space="preserve"> - Geschillen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1DE53664" w14:textId="77777777" w:rsidR="007F4082" w:rsidRDefault="007F4082" w:rsidP="00FF4F86">
      <w:pPr>
        <w:pStyle w:val="Normaalweb"/>
        <w:spacing w:before="0" w:beforeAutospacing="0" w:after="0" w:afterAutospacing="0"/>
        <w:rPr>
          <w:rStyle w:val="Zwaar"/>
          <w:rFonts w:ascii="Arial" w:hAnsi="Arial" w:cs="Arial"/>
          <w:sz w:val="20"/>
          <w:szCs w:val="20"/>
        </w:rPr>
      </w:pPr>
    </w:p>
    <w:p w14:paraId="7D64578B" w14:textId="77777777" w:rsidR="007F4082" w:rsidRDefault="007F4082" w:rsidP="00FF4F86">
      <w:pPr>
        <w:pStyle w:val="Normaalweb"/>
        <w:spacing w:before="0" w:beforeAutospacing="0" w:after="0" w:afterAutospacing="0"/>
        <w:rPr>
          <w:rStyle w:val="Zwaar"/>
          <w:rFonts w:ascii="Arial" w:hAnsi="Arial" w:cs="Arial"/>
          <w:sz w:val="20"/>
          <w:szCs w:val="20"/>
        </w:rPr>
      </w:pPr>
    </w:p>
    <w:p w14:paraId="0D7F58B3" w14:textId="77777777" w:rsidR="007F4082" w:rsidRDefault="007F4082" w:rsidP="00FF4F86">
      <w:pPr>
        <w:pStyle w:val="Normaalweb"/>
        <w:spacing w:before="0" w:beforeAutospacing="0" w:after="0" w:afterAutospacing="0"/>
        <w:rPr>
          <w:rStyle w:val="Zwaar"/>
          <w:rFonts w:ascii="Arial" w:hAnsi="Arial" w:cs="Arial"/>
          <w:sz w:val="20"/>
          <w:szCs w:val="20"/>
        </w:rPr>
      </w:pPr>
    </w:p>
    <w:p w14:paraId="697A7F66" w14:textId="77777777" w:rsidR="007F4082" w:rsidRDefault="007F4082" w:rsidP="00FF4F86">
      <w:pPr>
        <w:pStyle w:val="Normaalweb"/>
        <w:spacing w:before="0" w:beforeAutospacing="0" w:after="0" w:afterAutospacing="0"/>
        <w:rPr>
          <w:rStyle w:val="Zwaar"/>
          <w:rFonts w:ascii="Arial" w:hAnsi="Arial" w:cs="Arial"/>
          <w:sz w:val="20"/>
          <w:szCs w:val="20"/>
        </w:rPr>
      </w:pPr>
    </w:p>
    <w:p w14:paraId="57A1CE51" w14:textId="77777777" w:rsidR="00917331" w:rsidRDefault="00917331" w:rsidP="00FF4F86">
      <w:pPr>
        <w:pStyle w:val="Normaalweb"/>
        <w:spacing w:before="0" w:beforeAutospacing="0" w:after="0" w:afterAutospacing="0"/>
        <w:rPr>
          <w:rStyle w:val="Zwaar"/>
          <w:rFonts w:ascii="Arial" w:hAnsi="Arial" w:cs="Arial"/>
          <w:sz w:val="20"/>
          <w:szCs w:val="20"/>
        </w:rPr>
      </w:pPr>
    </w:p>
    <w:p w14:paraId="7574DFC6" w14:textId="77777777" w:rsidR="00917331" w:rsidRDefault="00917331" w:rsidP="00FF4F86">
      <w:pPr>
        <w:pStyle w:val="Normaalweb"/>
        <w:spacing w:before="0" w:beforeAutospacing="0" w:after="0" w:afterAutospacing="0"/>
        <w:rPr>
          <w:rStyle w:val="Zwaa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lastRenderedPageBreak/>
        <w:t>Artikel 2 - Identiteit van de ondernemer</w:t>
      </w:r>
    </w:p>
    <w:p w14:paraId="6F8B2474" w14:textId="334DA66B" w:rsidR="00207C3E" w:rsidRPr="003E059E" w:rsidRDefault="00813271" w:rsidP="00FF4F86">
      <w:pPr>
        <w:autoSpaceDE w:val="0"/>
        <w:autoSpaceDN w:val="0"/>
        <w:adjustRightInd w:val="0"/>
        <w:rPr>
          <w:rFonts w:ascii="Arial" w:hAnsi="Arial" w:cs="Arial"/>
          <w:sz w:val="20"/>
          <w:szCs w:val="20"/>
        </w:rPr>
      </w:pPr>
      <w:r>
        <w:rPr>
          <w:rFonts w:ascii="Arial" w:hAnsi="Arial" w:cs="Arial"/>
          <w:sz w:val="20"/>
          <w:szCs w:val="20"/>
        </w:rPr>
        <w:t>iTypo, Handelsnaam: Uptimed</w:t>
      </w:r>
      <w:r w:rsidR="005F3BDD">
        <w:rPr>
          <w:rFonts w:ascii="Arial" w:hAnsi="Arial" w:cs="Arial"/>
          <w:sz w:val="20"/>
          <w:szCs w:val="20"/>
        </w:rPr>
        <w:t xml:space="preserve"> Datacenter Equipment</w:t>
      </w:r>
    </w:p>
    <w:p w14:paraId="17C97E75" w14:textId="1AE0555B" w:rsidR="00207C3E" w:rsidRPr="003E059E" w:rsidRDefault="005F3BDD" w:rsidP="00FF4F86">
      <w:pPr>
        <w:autoSpaceDE w:val="0"/>
        <w:autoSpaceDN w:val="0"/>
        <w:adjustRightInd w:val="0"/>
        <w:rPr>
          <w:rFonts w:ascii="Arial" w:hAnsi="Arial" w:cs="Arial"/>
          <w:sz w:val="20"/>
          <w:szCs w:val="20"/>
        </w:rPr>
      </w:pPr>
      <w:r>
        <w:rPr>
          <w:rFonts w:ascii="Arial" w:hAnsi="Arial" w:cs="Arial"/>
          <w:sz w:val="20"/>
          <w:szCs w:val="20"/>
        </w:rPr>
        <w:t>Octant 115, 3328SH DORDRECHT</w:t>
      </w:r>
    </w:p>
    <w:p w14:paraId="2804FC70" w14:textId="32C332C8"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sidR="00813271">
        <w:rPr>
          <w:rFonts w:ascii="Arial" w:hAnsi="Arial" w:cs="Arial"/>
          <w:sz w:val="20"/>
          <w:szCs w:val="20"/>
        </w:rPr>
        <w:t>info@uptimed</w:t>
      </w:r>
      <w:r w:rsidR="005F3BDD">
        <w:rPr>
          <w:rFonts w:ascii="Arial" w:hAnsi="Arial" w:cs="Arial"/>
          <w:sz w:val="20"/>
          <w:szCs w:val="20"/>
        </w:rPr>
        <w:t>.nl</w:t>
      </w:r>
    </w:p>
    <w:p w14:paraId="6255156C" w14:textId="6740A289"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5F3BDD">
        <w:rPr>
          <w:rFonts w:ascii="Arial" w:hAnsi="Arial" w:cs="Arial"/>
          <w:sz w:val="20"/>
          <w:szCs w:val="20"/>
        </w:rPr>
        <w:t>24470602</w:t>
      </w:r>
    </w:p>
    <w:p w14:paraId="7523CE09" w14:textId="25F9963D"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5F3BDD" w:rsidRPr="005F3BDD">
        <w:rPr>
          <w:rFonts w:ascii="Arial" w:hAnsi="Arial" w:cs="Arial"/>
          <w:sz w:val="20"/>
          <w:szCs w:val="20"/>
        </w:rPr>
        <w:t>NL180548670B01</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29C9D4BA" w14:textId="0378E1F1" w:rsidR="00C739CB" w:rsidRPr="00A80FEE" w:rsidRDefault="00C657FA" w:rsidP="00FF4F86">
      <w:pPr>
        <w:pStyle w:val="Lijstalinea"/>
        <w:numPr>
          <w:ilvl w:val="0"/>
          <w:numId w:val="5"/>
        </w:numPr>
        <w:autoSpaceDE w:val="0"/>
        <w:autoSpaceDN w:val="0"/>
        <w:adjustRightInd w:val="0"/>
        <w:rPr>
          <w:rFonts w:ascii="Arial" w:eastAsia="Times New Roman" w:hAnsi="Arial" w:cs="Arial"/>
          <w:sz w:val="20"/>
          <w:szCs w:val="20"/>
        </w:rPr>
      </w:pPr>
      <w:r>
        <w:rPr>
          <w:rFonts w:ascii="Arial" w:eastAsia="Times New Roman" w:hAnsi="Arial" w:cs="Arial"/>
          <w:sz w:val="20"/>
          <w:szCs w:val="20"/>
        </w:rPr>
        <w:t>Ons BTW nummer staat vermeld</w:t>
      </w:r>
      <w:bookmarkStart w:id="0" w:name="_GoBack"/>
      <w:bookmarkEnd w:id="0"/>
      <w:r w:rsidR="00C739CB">
        <w:rPr>
          <w:rFonts w:ascii="Arial" w:eastAsia="Times New Roman" w:hAnsi="Arial" w:cs="Arial"/>
          <w:sz w:val="20"/>
          <w:szCs w:val="20"/>
        </w:rPr>
        <w:t xml:space="preserve"> op onze facturen.</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B2F86E4" w14:textId="0F7CB7E1" w:rsidR="00FC0D06" w:rsidRPr="00A80FEE" w:rsidRDefault="00FC0D06" w:rsidP="00917331">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lastRenderedPageBreak/>
        <w:t>De consument draagt de rechtstreekse kosten van h</w:t>
      </w:r>
      <w:r w:rsidR="00917331">
        <w:rPr>
          <w:rFonts w:ascii="Arial" w:hAnsi="Arial" w:cs="Arial"/>
          <w:sz w:val="20"/>
          <w:szCs w:val="20"/>
        </w:rPr>
        <w:t>et terugzenden van het product.</w:t>
      </w:r>
    </w:p>
    <w:p w14:paraId="3EA6DB93" w14:textId="77777777" w:rsidR="00917331" w:rsidRDefault="00917331" w:rsidP="00FF4F86">
      <w:pPr>
        <w:autoSpaceDE w:val="0"/>
        <w:autoSpaceDN w:val="0"/>
        <w:adjustRightInd w:val="0"/>
        <w:rPr>
          <w:rFonts w:ascii="Arial" w:hAnsi="Arial" w:cs="Arial"/>
          <w:b/>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56570C3B" w14:textId="77777777" w:rsidR="006B5F02" w:rsidRPr="00A80FEE" w:rsidRDefault="006B5F02" w:rsidP="00FF4F86">
      <w:pPr>
        <w:rPr>
          <w:rFonts w:ascii="Arial" w:eastAsia="Times New Roman" w:hAnsi="Arial" w:cs="Arial"/>
          <w:sz w:val="20"/>
          <w:szCs w:val="20"/>
        </w:rPr>
      </w:pPr>
    </w:p>
    <w:p w14:paraId="647D0C99" w14:textId="69D02C95"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Art</w:t>
      </w:r>
      <w:r w:rsidR="00917331">
        <w:rPr>
          <w:rFonts w:ascii="Arial" w:eastAsia="Times New Roman" w:hAnsi="Arial" w:cs="Arial"/>
          <w:b/>
          <w:sz w:val="20"/>
          <w:szCs w:val="20"/>
        </w:rPr>
        <w:t>ikel 14</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36985D49" w14:textId="77777777" w:rsidR="00917331" w:rsidRDefault="00917331" w:rsidP="00FF4F86">
      <w:pPr>
        <w:rPr>
          <w:rFonts w:ascii="Arial" w:eastAsia="Times New Roman" w:hAnsi="Arial" w:cs="Arial"/>
          <w:b/>
          <w:sz w:val="20"/>
          <w:szCs w:val="20"/>
        </w:rPr>
      </w:pPr>
    </w:p>
    <w:p w14:paraId="0E3F7D8F" w14:textId="77777777" w:rsidR="00917331" w:rsidRDefault="00917331" w:rsidP="00FF4F86">
      <w:pPr>
        <w:rPr>
          <w:rFonts w:ascii="Arial" w:eastAsia="Times New Roman" w:hAnsi="Arial" w:cs="Arial"/>
          <w:b/>
          <w:sz w:val="20"/>
          <w:szCs w:val="20"/>
        </w:rPr>
      </w:pPr>
    </w:p>
    <w:p w14:paraId="34C087BB" w14:textId="77777777" w:rsidR="00917331" w:rsidRDefault="00917331" w:rsidP="00FF4F86">
      <w:pPr>
        <w:rPr>
          <w:rFonts w:ascii="Arial" w:eastAsia="Times New Roman" w:hAnsi="Arial" w:cs="Arial"/>
          <w:b/>
          <w:sz w:val="20"/>
          <w:szCs w:val="20"/>
        </w:rPr>
      </w:pPr>
    </w:p>
    <w:p w14:paraId="5923CDED" w14:textId="77777777" w:rsidR="00917331" w:rsidRDefault="00917331" w:rsidP="00FF4F86">
      <w:pPr>
        <w:rPr>
          <w:rFonts w:ascii="Arial" w:eastAsia="Times New Roman" w:hAnsi="Arial" w:cs="Arial"/>
          <w:b/>
          <w:sz w:val="20"/>
          <w:szCs w:val="20"/>
        </w:rPr>
      </w:pPr>
    </w:p>
    <w:p w14:paraId="4D9FD164" w14:textId="77777777" w:rsidR="00917331" w:rsidRDefault="00917331" w:rsidP="00FF4F86">
      <w:pPr>
        <w:rPr>
          <w:rFonts w:ascii="Arial" w:eastAsia="Times New Roman" w:hAnsi="Arial" w:cs="Arial"/>
          <w:b/>
          <w:sz w:val="20"/>
          <w:szCs w:val="20"/>
        </w:rPr>
      </w:pPr>
    </w:p>
    <w:p w14:paraId="0730D06F" w14:textId="77777777" w:rsidR="00917331" w:rsidRDefault="00917331" w:rsidP="00FF4F86">
      <w:pPr>
        <w:rPr>
          <w:rFonts w:ascii="Arial" w:eastAsia="Times New Roman" w:hAnsi="Arial" w:cs="Arial"/>
          <w:b/>
          <w:sz w:val="20"/>
          <w:szCs w:val="20"/>
        </w:rPr>
      </w:pPr>
    </w:p>
    <w:p w14:paraId="5EBBDC95" w14:textId="4A5EEC34"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Arti</w:t>
      </w:r>
      <w:r w:rsidR="00917331">
        <w:rPr>
          <w:rFonts w:ascii="Arial" w:eastAsia="Times New Roman" w:hAnsi="Arial" w:cs="Arial"/>
          <w:b/>
          <w:sz w:val="20"/>
          <w:szCs w:val="20"/>
        </w:rPr>
        <w:t>kel 15</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295D19" w14:textId="77777777" w:rsidR="007F4082" w:rsidRDefault="007F4082" w:rsidP="00FF4F86">
      <w:pPr>
        <w:rPr>
          <w:rFonts w:ascii="Arial" w:eastAsia="Times New Roman" w:hAnsi="Arial" w:cs="Arial"/>
          <w:b/>
          <w:sz w:val="20"/>
          <w:szCs w:val="20"/>
        </w:rPr>
      </w:pPr>
    </w:p>
    <w:p w14:paraId="1DEA91C7" w14:textId="680D0C68"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t>Artikel 1</w:t>
      </w:r>
      <w:r w:rsidR="00917331">
        <w:rPr>
          <w:rFonts w:ascii="Arial" w:eastAsia="Times New Roman" w:hAnsi="Arial" w:cs="Arial"/>
          <w:b/>
          <w:sz w:val="20"/>
          <w:szCs w:val="20"/>
        </w:rPr>
        <w:t>6</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5BF9D27F" w14:textId="0BBF76BB" w:rsidR="00F779D5" w:rsidRPr="007F4082" w:rsidRDefault="006732F3" w:rsidP="007F4082">
      <w:pPr>
        <w:numPr>
          <w:ilvl w:val="0"/>
          <w:numId w:val="23"/>
        </w:numPr>
        <w:rPr>
          <w:rStyle w:val="Zwaar"/>
          <w:rFonts w:ascii="Arial" w:eastAsia="Times New Roman" w:hAnsi="Arial" w:cs="Arial"/>
          <w:b w:val="0"/>
          <w:bCs w:val="0"/>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r w:rsidR="00F779D5" w:rsidRPr="007F4082">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7777777"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82920" w14:textId="77777777" w:rsidR="001C517B" w:rsidRDefault="001C517B" w:rsidP="00D76227">
      <w:r>
        <w:separator/>
      </w:r>
    </w:p>
  </w:endnote>
  <w:endnote w:type="continuationSeparator" w:id="0">
    <w:p w14:paraId="2BB69721" w14:textId="77777777" w:rsidR="001C517B" w:rsidRDefault="001C517B"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51CE" w14:textId="77777777" w:rsidR="00D76227" w:rsidRDefault="00D762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3C0" w14:textId="77777777" w:rsidR="00D76227" w:rsidRDefault="00D762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AAA7" w14:textId="77777777" w:rsidR="00D76227" w:rsidRDefault="00D762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64842" w14:textId="77777777" w:rsidR="001C517B" w:rsidRDefault="001C517B" w:rsidP="00D76227">
      <w:r>
        <w:separator/>
      </w:r>
    </w:p>
  </w:footnote>
  <w:footnote w:type="continuationSeparator" w:id="0">
    <w:p w14:paraId="14AFB809" w14:textId="77777777" w:rsidR="001C517B" w:rsidRDefault="001C517B" w:rsidP="00D7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BFF" w14:textId="77777777" w:rsidR="00D76227" w:rsidRDefault="00D762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6C1D" w14:textId="77777777" w:rsidR="00D76227" w:rsidRDefault="00D762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A26F" w14:textId="77777777" w:rsidR="00D76227" w:rsidRDefault="00D762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B0FF5"/>
    <w:rsid w:val="001C517B"/>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5F3BDD"/>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4082"/>
    <w:rsid w:val="007F6635"/>
    <w:rsid w:val="00801BA7"/>
    <w:rsid w:val="00813271"/>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17331"/>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57FA"/>
    <w:rsid w:val="00C674E1"/>
    <w:rsid w:val="00C70B67"/>
    <w:rsid w:val="00C739CB"/>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5360"/>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63D8-372D-496A-A516-02B831C2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3253</Words>
  <Characters>17896</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Sander</cp:lastModifiedBy>
  <cp:revision>8</cp:revision>
  <cp:lastPrinted>2014-04-23T11:48:00Z</cp:lastPrinted>
  <dcterms:created xsi:type="dcterms:W3CDTF">2015-06-30T08:34:00Z</dcterms:created>
  <dcterms:modified xsi:type="dcterms:W3CDTF">2016-07-08T12:41:00Z</dcterms:modified>
</cp:coreProperties>
</file>